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B4878" w14:textId="7B12B457" w:rsidR="000C719A" w:rsidRPr="007171C2" w:rsidRDefault="00D17C6C" w:rsidP="009845CF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3C92FD4" wp14:editId="6D4870FF">
            <wp:simplePos x="0" y="0"/>
            <wp:positionH relativeFrom="column">
              <wp:posOffset>-88900</wp:posOffset>
            </wp:positionH>
            <wp:positionV relativeFrom="paragraph">
              <wp:posOffset>-133773</wp:posOffset>
            </wp:positionV>
            <wp:extent cx="2275840" cy="727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08C96" w14:textId="45D024D8" w:rsidR="000C719A" w:rsidRPr="007171C2" w:rsidRDefault="000C719A" w:rsidP="00AC66AE">
      <w:pPr>
        <w:rPr>
          <w:rFonts w:ascii="Arial" w:hAnsi="Arial" w:cs="Arial"/>
        </w:rPr>
      </w:pPr>
    </w:p>
    <w:p w14:paraId="6EFCB371" w14:textId="658B3117" w:rsidR="00D17C6C" w:rsidRDefault="000C719A" w:rsidP="004223A2">
      <w:pPr>
        <w:spacing w:after="0"/>
        <w:rPr>
          <w:rFonts w:ascii="Arial" w:hAnsi="Arial" w:cs="Arial"/>
          <w:b/>
          <w:bCs/>
          <w:color w:val="00313C"/>
          <w:sz w:val="28"/>
          <w:szCs w:val="28"/>
        </w:rPr>
      </w:pPr>
      <w:r w:rsidRPr="00D17C6C">
        <w:rPr>
          <w:rFonts w:ascii="Arial" w:hAnsi="Arial" w:cs="Arial"/>
          <w:b/>
          <w:bCs/>
          <w:color w:val="00313C"/>
          <w:sz w:val="28"/>
          <w:szCs w:val="28"/>
        </w:rPr>
        <w:t xml:space="preserve">PPH: Readiness. </w:t>
      </w:r>
      <w:r w:rsidR="00B84A3D">
        <w:rPr>
          <w:rFonts w:ascii="Arial" w:hAnsi="Arial" w:cs="Arial"/>
          <w:b/>
          <w:bCs/>
          <w:color w:val="00313C"/>
          <w:sz w:val="28"/>
          <w:szCs w:val="28"/>
        </w:rPr>
        <w:t xml:space="preserve">Recognition. </w:t>
      </w:r>
      <w:r w:rsidRPr="00D17C6C">
        <w:rPr>
          <w:rFonts w:ascii="Arial" w:hAnsi="Arial" w:cs="Arial"/>
          <w:b/>
          <w:bCs/>
          <w:color w:val="00313C"/>
          <w:sz w:val="28"/>
          <w:szCs w:val="28"/>
        </w:rPr>
        <w:t>Response</w:t>
      </w:r>
      <w:r w:rsidR="00B84A3D">
        <w:rPr>
          <w:rFonts w:ascii="Arial" w:hAnsi="Arial" w:cs="Arial"/>
          <w:b/>
          <w:bCs/>
          <w:color w:val="00313C"/>
          <w:sz w:val="28"/>
          <w:szCs w:val="28"/>
        </w:rPr>
        <w:t>.</w:t>
      </w:r>
    </w:p>
    <w:p w14:paraId="65CFF99C" w14:textId="395F0A92" w:rsidR="00AC66AE" w:rsidRPr="004223A2" w:rsidRDefault="00B84A3D" w:rsidP="004223A2">
      <w:pPr>
        <w:spacing w:after="0"/>
        <w:rPr>
          <w:rFonts w:ascii="Arial" w:hAnsi="Arial" w:cs="Arial"/>
          <w:b/>
          <w:bCs/>
          <w:color w:val="00B2DE"/>
          <w:sz w:val="28"/>
          <w:szCs w:val="28"/>
        </w:rPr>
      </w:pPr>
      <w:r>
        <w:rPr>
          <w:rFonts w:ascii="Arial" w:hAnsi="Arial" w:cs="Arial"/>
          <w:b/>
          <w:bCs/>
          <w:color w:val="00B2DE"/>
          <w:sz w:val="24"/>
          <w:szCs w:val="24"/>
        </w:rPr>
        <w:t>Postpartum Hemorrhage (PPH) Basic Knowledge Review</w:t>
      </w:r>
    </w:p>
    <w:p w14:paraId="76A7B102" w14:textId="74141CF6" w:rsidR="00AC66AE" w:rsidRPr="004223A2" w:rsidRDefault="00AC66AE" w:rsidP="00AC66A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223A2">
        <w:rPr>
          <w:rFonts w:ascii="Arial" w:hAnsi="Arial" w:cs="Arial"/>
          <w:b/>
          <w:bCs/>
          <w:sz w:val="18"/>
          <w:szCs w:val="18"/>
        </w:rPr>
        <w:t>Purpose:</w:t>
      </w:r>
      <w:r w:rsidR="00B84A3D">
        <w:rPr>
          <w:rFonts w:ascii="Arial" w:hAnsi="Arial" w:cs="Arial"/>
          <w:b/>
          <w:bCs/>
          <w:sz w:val="18"/>
          <w:szCs w:val="18"/>
        </w:rPr>
        <w:t xml:space="preserve"> </w:t>
      </w:r>
      <w:r w:rsidR="00B84A3D" w:rsidRPr="00B84A3D">
        <w:rPr>
          <w:rFonts w:ascii="Arial" w:hAnsi="Arial" w:cs="Arial"/>
          <w:sz w:val="18"/>
          <w:szCs w:val="18"/>
        </w:rPr>
        <w:t xml:space="preserve">Establish baseline knowledge regarding PPH for </w:t>
      </w:r>
      <w:bookmarkStart w:id="0" w:name="_Hlk59013691"/>
      <w:r w:rsidR="00B84A3D" w:rsidRPr="00B84A3D">
        <w:rPr>
          <w:rFonts w:ascii="Arial" w:hAnsi="Arial" w:cs="Arial"/>
          <w:sz w:val="18"/>
          <w:szCs w:val="18"/>
        </w:rPr>
        <w:t>all health care staff who may care for birthing women</w:t>
      </w:r>
      <w:bookmarkEnd w:id="0"/>
    </w:p>
    <w:p w14:paraId="59EE46E9" w14:textId="5692E412" w:rsidR="00B84A3D" w:rsidRDefault="00AC66AE" w:rsidP="00B84A3D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4223A2">
        <w:rPr>
          <w:rFonts w:ascii="Arial" w:hAnsi="Arial" w:cs="Arial"/>
          <w:b/>
          <w:bCs/>
          <w:sz w:val="18"/>
          <w:szCs w:val="18"/>
        </w:rPr>
        <w:t>When/how to use:</w:t>
      </w:r>
      <w:r w:rsidR="00B84A3D">
        <w:rPr>
          <w:rFonts w:ascii="Arial" w:hAnsi="Arial" w:cs="Arial"/>
          <w:sz w:val="18"/>
          <w:szCs w:val="18"/>
        </w:rPr>
        <w:t xml:space="preserve"> </w:t>
      </w:r>
      <w:r w:rsidR="00B84A3D" w:rsidRPr="00B84A3D">
        <w:rPr>
          <w:rFonts w:ascii="Arial" w:hAnsi="Arial" w:cs="Arial"/>
          <w:sz w:val="18"/>
          <w:szCs w:val="18"/>
        </w:rPr>
        <w:t>Use as part of initial orientation to hospital birthing service, and as annual review</w:t>
      </w:r>
      <w:r w:rsidR="00B84A3D" w:rsidRPr="00B84A3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F239ED4" w14:textId="4EAA6FEF" w:rsidR="00AC66AE" w:rsidRPr="004223A2" w:rsidRDefault="00AC66AE" w:rsidP="00B84A3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4223A2">
        <w:rPr>
          <w:rFonts w:ascii="Arial" w:hAnsi="Arial" w:cs="Arial"/>
          <w:b/>
          <w:bCs/>
          <w:sz w:val="18"/>
          <w:szCs w:val="18"/>
        </w:rPr>
        <w:t xml:space="preserve">Who to use: </w:t>
      </w:r>
      <w:r w:rsidR="00B84A3D" w:rsidRPr="00B84A3D">
        <w:rPr>
          <w:rFonts w:ascii="Arial" w:hAnsi="Arial" w:cs="Arial"/>
          <w:sz w:val="18"/>
          <w:szCs w:val="18"/>
        </w:rPr>
        <w:t xml:space="preserve">All health care staff who may care for birthing </w:t>
      </w:r>
      <w:proofErr w:type="gramStart"/>
      <w:r w:rsidR="00B84A3D" w:rsidRPr="00B84A3D">
        <w:rPr>
          <w:rFonts w:ascii="Arial" w:hAnsi="Arial" w:cs="Arial"/>
          <w:sz w:val="18"/>
          <w:szCs w:val="18"/>
        </w:rPr>
        <w:t>women</w:t>
      </w:r>
      <w:proofErr w:type="gramEnd"/>
    </w:p>
    <w:p w14:paraId="59285BF5" w14:textId="77777777" w:rsidR="00B84A3D" w:rsidRDefault="00B84A3D" w:rsidP="00B84A3D">
      <w:pPr>
        <w:spacing w:after="0" w:line="240" w:lineRule="auto"/>
        <w:rPr>
          <w:rFonts w:ascii="Arial" w:hAnsi="Arial" w:cs="Arial"/>
        </w:rPr>
      </w:pPr>
    </w:p>
    <w:p w14:paraId="0A895AD5" w14:textId="3B5FCC44" w:rsidR="00B84A3D" w:rsidRPr="00B84A3D" w:rsidRDefault="00B84A3D" w:rsidP="00B84A3D">
      <w:pPr>
        <w:spacing w:after="0" w:line="240" w:lineRule="auto"/>
        <w:rPr>
          <w:rFonts w:ascii="Arial" w:hAnsi="Arial" w:cs="Arial"/>
          <w:b/>
          <w:bCs/>
          <w:color w:val="00313C"/>
          <w:sz w:val="18"/>
          <w:szCs w:val="18"/>
        </w:rPr>
      </w:pPr>
      <w:r w:rsidRPr="00B84A3D">
        <w:rPr>
          <w:rFonts w:ascii="Arial" w:hAnsi="Arial" w:cs="Arial"/>
          <w:b/>
          <w:bCs/>
          <w:color w:val="00313C"/>
          <w:sz w:val="18"/>
          <w:szCs w:val="18"/>
        </w:rPr>
        <w:t>Definition of Postpartum Hemorrhage (PPH) per the American College of Obstetricians</w:t>
      </w:r>
    </w:p>
    <w:p w14:paraId="526E4910" w14:textId="77777777" w:rsidR="00B84A3D" w:rsidRPr="00B84A3D" w:rsidRDefault="00B84A3D" w:rsidP="00B84A3D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84A3D">
        <w:rPr>
          <w:rFonts w:ascii="Arial" w:eastAsiaTheme="minorEastAsia" w:hAnsi="Arial" w:cs="Arial"/>
          <w:color w:val="232323"/>
          <w:kern w:val="24"/>
          <w:sz w:val="18"/>
          <w:szCs w:val="18"/>
        </w:rPr>
        <w:t>Definition of PPH is cumulative blood loss ≥1000 mL </w:t>
      </w:r>
      <w:r w:rsidRPr="00B84A3D">
        <w:rPr>
          <w:rFonts w:ascii="Arial" w:eastAsiaTheme="minorEastAsia" w:hAnsi="Arial" w:cs="Arial"/>
          <w:b/>
          <w:bCs/>
          <w:color w:val="232323"/>
          <w:kern w:val="24"/>
          <w:sz w:val="18"/>
          <w:szCs w:val="18"/>
        </w:rPr>
        <w:t>or</w:t>
      </w:r>
      <w:r w:rsidRPr="00B84A3D">
        <w:rPr>
          <w:rFonts w:ascii="Arial" w:eastAsiaTheme="minorEastAsia" w:hAnsi="Arial" w:cs="Arial"/>
          <w:color w:val="232323"/>
          <w:kern w:val="24"/>
          <w:sz w:val="18"/>
          <w:szCs w:val="18"/>
        </w:rPr>
        <w:t> bleeding associated with signs/symptoms of hypovolemia within 24 hours of the birth process regardless of delivery route</w:t>
      </w:r>
    </w:p>
    <w:p w14:paraId="6BF5C0AE" w14:textId="77777777" w:rsidR="00B84A3D" w:rsidRPr="00B84A3D" w:rsidRDefault="00B84A3D" w:rsidP="00B84A3D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B84A3D">
        <w:rPr>
          <w:rFonts w:ascii="Arial" w:eastAsiaTheme="minorEastAsia" w:hAnsi="Arial" w:cs="Arial"/>
          <w:color w:val="232323"/>
          <w:kern w:val="24"/>
          <w:sz w:val="18"/>
          <w:szCs w:val="18"/>
        </w:rPr>
        <w:t>Blood loss of greater than 500 mL in a vaginal delivery should be considered abnormal. Additional investigation is advised</w:t>
      </w:r>
    </w:p>
    <w:p w14:paraId="4DEDB332" w14:textId="77777777" w:rsidR="00B84A3D" w:rsidRPr="00B84A3D" w:rsidRDefault="00B84A3D" w:rsidP="00B84A3D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E77CFFD" w14:textId="67AD4CBD" w:rsidR="00B84A3D" w:rsidRPr="00B84A3D" w:rsidRDefault="00B84A3D" w:rsidP="00B84A3D">
      <w:pPr>
        <w:spacing w:after="0" w:line="240" w:lineRule="exact"/>
        <w:rPr>
          <w:rFonts w:ascii="Arial" w:hAnsi="Arial" w:cs="Arial"/>
          <w:b/>
          <w:bCs/>
          <w:color w:val="00313C"/>
          <w:sz w:val="18"/>
          <w:szCs w:val="18"/>
        </w:rPr>
      </w:pPr>
      <w:r w:rsidRPr="00B84A3D">
        <w:rPr>
          <w:rFonts w:ascii="Arial" w:hAnsi="Arial" w:cs="Arial"/>
          <w:b/>
          <w:bCs/>
          <w:color w:val="00313C"/>
          <w:sz w:val="18"/>
          <w:szCs w:val="18"/>
        </w:rPr>
        <w:t>General Causes of PPH</w:t>
      </w:r>
    </w:p>
    <w:tbl>
      <w:tblPr>
        <w:tblStyle w:val="TableGrid"/>
        <w:tblW w:w="11335" w:type="dxa"/>
        <w:tblLook w:val="04A0" w:firstRow="1" w:lastRow="0" w:firstColumn="1" w:lastColumn="0" w:noHBand="0" w:noVBand="1"/>
      </w:tblPr>
      <w:tblGrid>
        <w:gridCol w:w="5395"/>
        <w:gridCol w:w="5940"/>
      </w:tblGrid>
      <w:tr w:rsidR="00B84A3D" w:rsidRPr="00B84A3D" w14:paraId="30B2FBBD" w14:textId="77777777" w:rsidTr="005F0361">
        <w:tc>
          <w:tcPr>
            <w:tcW w:w="5395" w:type="dxa"/>
          </w:tcPr>
          <w:p w14:paraId="4572DF5F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Primary (1</w:t>
            </w:r>
            <w:r w:rsidRPr="00B84A3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st</w:t>
            </w: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24 hours after birth)</w:t>
            </w:r>
          </w:p>
        </w:tc>
        <w:tc>
          <w:tcPr>
            <w:tcW w:w="5940" w:type="dxa"/>
          </w:tcPr>
          <w:p w14:paraId="62F01DC5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Secondary (24 hours up to 12 weeks after birth)</w:t>
            </w:r>
          </w:p>
        </w:tc>
      </w:tr>
      <w:tr w:rsidR="00B84A3D" w:rsidRPr="00B84A3D" w14:paraId="4FDDD9F2" w14:textId="77777777" w:rsidTr="005F0361">
        <w:tc>
          <w:tcPr>
            <w:tcW w:w="5395" w:type="dxa"/>
          </w:tcPr>
          <w:p w14:paraId="5D704E16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Uterine atony</w:t>
            </w:r>
            <w:proofErr w:type="gramStart"/>
            <w:r w:rsidRPr="00B84A3D">
              <w:rPr>
                <w:rFonts w:ascii="Arial" w:hAnsi="Arial" w:cs="Arial"/>
                <w:sz w:val="18"/>
                <w:szCs w:val="18"/>
              </w:rPr>
              <w:t>*  (</w:t>
            </w:r>
            <w:proofErr w:type="gramEnd"/>
            <w:r w:rsidRPr="00B84A3D">
              <w:rPr>
                <w:rFonts w:ascii="Arial" w:hAnsi="Arial" w:cs="Arial"/>
                <w:sz w:val="18"/>
                <w:szCs w:val="18"/>
              </w:rPr>
              <w:t>most common)</w:t>
            </w:r>
          </w:p>
        </w:tc>
        <w:tc>
          <w:tcPr>
            <w:tcW w:w="5940" w:type="dxa"/>
          </w:tcPr>
          <w:p w14:paraId="38708652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Subinvolution of placental site</w:t>
            </w:r>
          </w:p>
        </w:tc>
      </w:tr>
      <w:tr w:rsidR="00B84A3D" w:rsidRPr="00B84A3D" w14:paraId="7311E240" w14:textId="77777777" w:rsidTr="005F0361">
        <w:tc>
          <w:tcPr>
            <w:tcW w:w="5395" w:type="dxa"/>
          </w:tcPr>
          <w:p w14:paraId="0CFEF0CF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Lacerations</w:t>
            </w:r>
          </w:p>
        </w:tc>
        <w:tc>
          <w:tcPr>
            <w:tcW w:w="5940" w:type="dxa"/>
          </w:tcPr>
          <w:p w14:paraId="2B68EB26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Retained products of conception</w:t>
            </w:r>
          </w:p>
        </w:tc>
      </w:tr>
      <w:tr w:rsidR="00B84A3D" w:rsidRPr="00B84A3D" w14:paraId="457961DB" w14:textId="77777777" w:rsidTr="005F0361">
        <w:tc>
          <w:tcPr>
            <w:tcW w:w="5395" w:type="dxa"/>
          </w:tcPr>
          <w:p w14:paraId="10219C1A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Retained or adherent placenta</w:t>
            </w:r>
          </w:p>
        </w:tc>
        <w:tc>
          <w:tcPr>
            <w:tcW w:w="5940" w:type="dxa"/>
          </w:tcPr>
          <w:p w14:paraId="746E45D1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Infection</w:t>
            </w:r>
          </w:p>
        </w:tc>
      </w:tr>
      <w:tr w:rsidR="00B84A3D" w:rsidRPr="00B84A3D" w14:paraId="6BAC7394" w14:textId="77777777" w:rsidTr="005F0361">
        <w:tc>
          <w:tcPr>
            <w:tcW w:w="5395" w:type="dxa"/>
          </w:tcPr>
          <w:p w14:paraId="5CABDD02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Coagulation defects (acquired)</w:t>
            </w:r>
          </w:p>
        </w:tc>
        <w:tc>
          <w:tcPr>
            <w:tcW w:w="5940" w:type="dxa"/>
          </w:tcPr>
          <w:p w14:paraId="484A7662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Coagulation defects (congenital)</w:t>
            </w:r>
          </w:p>
        </w:tc>
      </w:tr>
      <w:tr w:rsidR="00B84A3D" w:rsidRPr="00B84A3D" w14:paraId="45C949A8" w14:textId="77777777" w:rsidTr="005F0361">
        <w:tc>
          <w:tcPr>
            <w:tcW w:w="5395" w:type="dxa"/>
          </w:tcPr>
          <w:p w14:paraId="51DAD6C5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Inversion of uterus</w:t>
            </w:r>
          </w:p>
        </w:tc>
        <w:tc>
          <w:tcPr>
            <w:tcW w:w="5940" w:type="dxa"/>
          </w:tcPr>
          <w:p w14:paraId="536E33E2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55136BA" w14:textId="77777777" w:rsidR="00B84A3D" w:rsidRPr="00B84A3D" w:rsidRDefault="00B84A3D" w:rsidP="00B84A3D">
      <w:pPr>
        <w:spacing w:after="0" w:line="240" w:lineRule="exact"/>
        <w:rPr>
          <w:rFonts w:ascii="Arial" w:hAnsi="Arial" w:cs="Arial"/>
          <w:b/>
          <w:bCs/>
          <w:color w:val="2F5496" w:themeColor="accent1" w:themeShade="BF"/>
          <w:sz w:val="18"/>
          <w:szCs w:val="18"/>
        </w:rPr>
      </w:pPr>
    </w:p>
    <w:p w14:paraId="27AD5A7C" w14:textId="4ECB387B" w:rsidR="00B84A3D" w:rsidRPr="00B84A3D" w:rsidRDefault="00B84A3D" w:rsidP="00B84A3D">
      <w:pPr>
        <w:spacing w:after="0" w:line="240" w:lineRule="exact"/>
        <w:rPr>
          <w:rFonts w:ascii="Arial" w:hAnsi="Arial" w:cs="Arial"/>
          <w:b/>
          <w:bCs/>
          <w:color w:val="00313C"/>
          <w:sz w:val="18"/>
          <w:szCs w:val="18"/>
        </w:rPr>
      </w:pPr>
      <w:r w:rsidRPr="00B84A3D">
        <w:rPr>
          <w:rFonts w:ascii="Arial" w:hAnsi="Arial" w:cs="Arial"/>
          <w:b/>
          <w:bCs/>
          <w:color w:val="00313C"/>
          <w:sz w:val="18"/>
          <w:szCs w:val="18"/>
        </w:rPr>
        <w:t>Strategies for recognition, prevention and mortality reduction</w:t>
      </w:r>
    </w:p>
    <w:tbl>
      <w:tblPr>
        <w:tblStyle w:val="TableGrid"/>
        <w:tblW w:w="11425" w:type="dxa"/>
        <w:tblLook w:val="04A0" w:firstRow="1" w:lastRow="0" w:firstColumn="1" w:lastColumn="0" w:noHBand="0" w:noVBand="1"/>
      </w:tblPr>
      <w:tblGrid>
        <w:gridCol w:w="3055"/>
        <w:gridCol w:w="2700"/>
        <w:gridCol w:w="2880"/>
        <w:gridCol w:w="2790"/>
      </w:tblGrid>
      <w:tr w:rsidR="00B84A3D" w:rsidRPr="00B84A3D" w14:paraId="2531232C" w14:textId="77777777" w:rsidTr="005F0361">
        <w:tc>
          <w:tcPr>
            <w:tcW w:w="3055" w:type="dxa"/>
          </w:tcPr>
          <w:p w14:paraId="40750384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Readiness</w:t>
            </w:r>
          </w:p>
        </w:tc>
        <w:tc>
          <w:tcPr>
            <w:tcW w:w="2700" w:type="dxa"/>
          </w:tcPr>
          <w:p w14:paraId="6414A8D5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Recognition/Response</w:t>
            </w:r>
          </w:p>
          <w:p w14:paraId="079DD0F8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Antenatal</w:t>
            </w:r>
          </w:p>
        </w:tc>
        <w:tc>
          <w:tcPr>
            <w:tcW w:w="2880" w:type="dxa"/>
          </w:tcPr>
          <w:p w14:paraId="4C66688D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Recognition/Response</w:t>
            </w:r>
          </w:p>
          <w:p w14:paraId="0FC5B461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Intrapartum</w:t>
            </w:r>
          </w:p>
        </w:tc>
        <w:tc>
          <w:tcPr>
            <w:tcW w:w="2790" w:type="dxa"/>
          </w:tcPr>
          <w:p w14:paraId="2EA5A7D5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Response/Reporting </w:t>
            </w:r>
          </w:p>
          <w:p w14:paraId="242471DE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If PPH Occurs</w:t>
            </w:r>
          </w:p>
        </w:tc>
      </w:tr>
      <w:tr w:rsidR="00B84A3D" w:rsidRPr="00B84A3D" w14:paraId="16E78650" w14:textId="77777777" w:rsidTr="005F0361">
        <w:tc>
          <w:tcPr>
            <w:tcW w:w="3055" w:type="dxa"/>
          </w:tcPr>
          <w:p w14:paraId="691F1A6F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Prepare hemorrhage cart</w:t>
            </w:r>
          </w:p>
          <w:p w14:paraId="69461127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</w:tcPr>
          <w:p w14:paraId="400CF689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Screen and treat anemia</w:t>
            </w:r>
          </w:p>
        </w:tc>
        <w:tc>
          <w:tcPr>
            <w:tcW w:w="2880" w:type="dxa"/>
          </w:tcPr>
          <w:p w14:paraId="4C5AB8CA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Use active management of third stage of labor</w:t>
            </w:r>
          </w:p>
        </w:tc>
        <w:tc>
          <w:tcPr>
            <w:tcW w:w="2790" w:type="dxa"/>
          </w:tcPr>
          <w:p w14:paraId="4F70011D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Follow emergency algorithm.  Refer to stages of PPH</w:t>
            </w:r>
          </w:p>
        </w:tc>
      </w:tr>
      <w:tr w:rsidR="00B84A3D" w:rsidRPr="00B84A3D" w14:paraId="39F37112" w14:textId="77777777" w:rsidTr="005F0361">
        <w:tc>
          <w:tcPr>
            <w:tcW w:w="3055" w:type="dxa"/>
          </w:tcPr>
          <w:p w14:paraId="4B185732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Establish and train team </w:t>
            </w:r>
          </w:p>
        </w:tc>
        <w:tc>
          <w:tcPr>
            <w:tcW w:w="2700" w:type="dxa"/>
          </w:tcPr>
          <w:p w14:paraId="7FD5F27A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Perform risk assessment </w:t>
            </w:r>
          </w:p>
        </w:tc>
        <w:tc>
          <w:tcPr>
            <w:tcW w:w="2880" w:type="dxa"/>
          </w:tcPr>
          <w:p w14:paraId="4DC41FF1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Avoid routine episiotomy</w:t>
            </w:r>
          </w:p>
        </w:tc>
        <w:tc>
          <w:tcPr>
            <w:tcW w:w="2790" w:type="dxa"/>
          </w:tcPr>
          <w:p w14:paraId="780A307F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84A3D">
              <w:rPr>
                <w:rFonts w:ascii="Arial" w:hAnsi="Arial" w:cs="Arial"/>
                <w:sz w:val="18"/>
                <w:szCs w:val="18"/>
              </w:rPr>
              <w:t>Use  checklists</w:t>
            </w:r>
            <w:proofErr w:type="gramEnd"/>
            <w:r w:rsidRPr="00B84A3D">
              <w:rPr>
                <w:rFonts w:ascii="Arial" w:hAnsi="Arial" w:cs="Arial"/>
                <w:sz w:val="18"/>
                <w:szCs w:val="18"/>
              </w:rPr>
              <w:t xml:space="preserve"> for clinical guidance and documentation </w:t>
            </w:r>
          </w:p>
        </w:tc>
      </w:tr>
      <w:tr w:rsidR="00B84A3D" w:rsidRPr="00B84A3D" w14:paraId="50C6965C" w14:textId="77777777" w:rsidTr="005F0361">
        <w:tc>
          <w:tcPr>
            <w:tcW w:w="3055" w:type="dxa"/>
          </w:tcPr>
          <w:p w14:paraId="4B459FF9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Develop institutional </w:t>
            </w:r>
            <w:proofErr w:type="gramStart"/>
            <w:r w:rsidRPr="00B84A3D">
              <w:rPr>
                <w:rFonts w:ascii="Arial" w:hAnsi="Arial" w:cs="Arial"/>
                <w:sz w:val="18"/>
                <w:szCs w:val="18"/>
              </w:rPr>
              <w:t>specific  action</w:t>
            </w:r>
            <w:proofErr w:type="gramEnd"/>
            <w:r w:rsidRPr="00B84A3D">
              <w:rPr>
                <w:rFonts w:ascii="Arial" w:hAnsi="Arial" w:cs="Arial"/>
                <w:sz w:val="18"/>
                <w:szCs w:val="18"/>
              </w:rPr>
              <w:t xml:space="preserve"> checklist</w:t>
            </w:r>
          </w:p>
        </w:tc>
        <w:tc>
          <w:tcPr>
            <w:tcW w:w="2700" w:type="dxa"/>
          </w:tcPr>
          <w:p w14:paraId="4916E487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Perform US for risk of invasive placenta</w:t>
            </w:r>
          </w:p>
        </w:tc>
        <w:tc>
          <w:tcPr>
            <w:tcW w:w="2880" w:type="dxa"/>
          </w:tcPr>
          <w:p w14:paraId="0E49FD6A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Avoid instrument deliveries especially forceps</w:t>
            </w:r>
          </w:p>
        </w:tc>
        <w:tc>
          <w:tcPr>
            <w:tcW w:w="2790" w:type="dxa"/>
          </w:tcPr>
          <w:p w14:paraId="478B9457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Provide support to </w:t>
            </w:r>
            <w:proofErr w:type="gramStart"/>
            <w:r w:rsidRPr="00B84A3D">
              <w:rPr>
                <w:rFonts w:ascii="Arial" w:hAnsi="Arial" w:cs="Arial"/>
                <w:sz w:val="18"/>
                <w:szCs w:val="18"/>
              </w:rPr>
              <w:t>patients</w:t>
            </w:r>
            <w:proofErr w:type="gramEnd"/>
            <w:r w:rsidRPr="00B84A3D">
              <w:rPr>
                <w:rFonts w:ascii="Arial" w:hAnsi="Arial" w:cs="Arial"/>
                <w:sz w:val="18"/>
                <w:szCs w:val="18"/>
              </w:rPr>
              <w:t xml:space="preserve"> families, staff</w:t>
            </w:r>
          </w:p>
        </w:tc>
      </w:tr>
      <w:tr w:rsidR="00B84A3D" w:rsidRPr="00B84A3D" w14:paraId="3CEB84C4" w14:textId="77777777" w:rsidTr="005F0361">
        <w:tc>
          <w:tcPr>
            <w:tcW w:w="3055" w:type="dxa"/>
          </w:tcPr>
          <w:p w14:paraId="6D832F92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Develop emergency plan to access blood products</w:t>
            </w:r>
          </w:p>
        </w:tc>
        <w:tc>
          <w:tcPr>
            <w:tcW w:w="2700" w:type="dxa"/>
          </w:tcPr>
          <w:p w14:paraId="5CC4E04F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If risk is medium, deliver in facility with blood supply available</w:t>
            </w:r>
          </w:p>
        </w:tc>
        <w:tc>
          <w:tcPr>
            <w:tcW w:w="2880" w:type="dxa"/>
          </w:tcPr>
          <w:p w14:paraId="07DE22AD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Measure quantitative cumulative blood loss</w:t>
            </w:r>
          </w:p>
        </w:tc>
        <w:tc>
          <w:tcPr>
            <w:tcW w:w="2790" w:type="dxa"/>
          </w:tcPr>
          <w:p w14:paraId="6FE4F081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Complete post-event huddle and debrief</w:t>
            </w:r>
          </w:p>
        </w:tc>
      </w:tr>
      <w:tr w:rsidR="00B84A3D" w:rsidRPr="00B84A3D" w14:paraId="60B74D5B" w14:textId="77777777" w:rsidTr="005F0361">
        <w:tc>
          <w:tcPr>
            <w:tcW w:w="3055" w:type="dxa"/>
          </w:tcPr>
          <w:p w14:paraId="32512F71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Institute unit-based education and drills</w:t>
            </w:r>
          </w:p>
        </w:tc>
        <w:tc>
          <w:tcPr>
            <w:tcW w:w="2700" w:type="dxa"/>
          </w:tcPr>
          <w:p w14:paraId="6F95CC87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If risk is high, consider transfer to higher level of care</w:t>
            </w:r>
          </w:p>
        </w:tc>
        <w:tc>
          <w:tcPr>
            <w:tcW w:w="2880" w:type="dxa"/>
          </w:tcPr>
          <w:p w14:paraId="60D44603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Track vital signs</w:t>
            </w:r>
          </w:p>
        </w:tc>
        <w:tc>
          <w:tcPr>
            <w:tcW w:w="2790" w:type="dxa"/>
          </w:tcPr>
          <w:p w14:paraId="4A8EBB61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Identify systems issues via interprofessional team review</w:t>
            </w:r>
          </w:p>
        </w:tc>
      </w:tr>
      <w:tr w:rsidR="00B84A3D" w:rsidRPr="00B84A3D" w14:paraId="7053FE31" w14:textId="77777777" w:rsidTr="005F0361">
        <w:tc>
          <w:tcPr>
            <w:tcW w:w="3055" w:type="dxa"/>
          </w:tcPr>
          <w:p w14:paraId="731F8315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Review PPH overview, action tools and references annually</w:t>
            </w:r>
          </w:p>
        </w:tc>
        <w:tc>
          <w:tcPr>
            <w:tcW w:w="2700" w:type="dxa"/>
          </w:tcPr>
          <w:p w14:paraId="1AF4B378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0" w:type="dxa"/>
          </w:tcPr>
          <w:p w14:paraId="3895B95E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Intervene using algorithms and action tools as provided</w:t>
            </w:r>
          </w:p>
        </w:tc>
        <w:tc>
          <w:tcPr>
            <w:tcW w:w="2790" w:type="dxa"/>
          </w:tcPr>
          <w:p w14:paraId="62F51C85" w14:textId="77777777" w:rsidR="00B84A3D" w:rsidRPr="00B84A3D" w:rsidRDefault="00B84A3D" w:rsidP="00B84A3D">
            <w:pPr>
              <w:adjustRightInd w:val="0"/>
              <w:snapToGrid w:val="0"/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14BA2DF" w14:textId="77777777" w:rsidR="00B84A3D" w:rsidRPr="00B84A3D" w:rsidRDefault="00B84A3D" w:rsidP="00B84A3D">
      <w:pPr>
        <w:spacing w:after="0" w:line="240" w:lineRule="exact"/>
        <w:rPr>
          <w:rFonts w:ascii="Arial" w:hAnsi="Arial" w:cs="Arial"/>
          <w:b/>
          <w:bCs/>
          <w:color w:val="2F5496" w:themeColor="accent1" w:themeShade="BF"/>
          <w:sz w:val="18"/>
          <w:szCs w:val="18"/>
        </w:rPr>
      </w:pPr>
    </w:p>
    <w:p w14:paraId="2DB435A1" w14:textId="7E176C99" w:rsidR="00B84A3D" w:rsidRPr="00B84A3D" w:rsidRDefault="00B84A3D" w:rsidP="00B84A3D">
      <w:pPr>
        <w:spacing w:after="0" w:line="240" w:lineRule="exact"/>
        <w:rPr>
          <w:rFonts w:ascii="Arial" w:hAnsi="Arial" w:cs="Arial"/>
          <w:b/>
          <w:bCs/>
          <w:color w:val="00313C"/>
          <w:sz w:val="18"/>
          <w:szCs w:val="18"/>
        </w:rPr>
      </w:pPr>
      <w:r w:rsidRPr="00B84A3D">
        <w:rPr>
          <w:rFonts w:ascii="Arial" w:hAnsi="Arial" w:cs="Arial"/>
          <w:b/>
          <w:bCs/>
          <w:color w:val="00313C"/>
          <w:sz w:val="18"/>
          <w:szCs w:val="18"/>
        </w:rPr>
        <w:t>Basic Management Strategies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1"/>
        <w:gridCol w:w="4023"/>
        <w:gridCol w:w="5886"/>
      </w:tblGrid>
      <w:tr w:rsidR="00B84A3D" w:rsidRPr="00B84A3D" w14:paraId="000DD4CD" w14:textId="77777777" w:rsidTr="005F0361">
        <w:tc>
          <w:tcPr>
            <w:tcW w:w="895" w:type="dxa"/>
          </w:tcPr>
          <w:p w14:paraId="757A3B8D" w14:textId="77777777" w:rsidR="00B84A3D" w:rsidRPr="00B84A3D" w:rsidRDefault="00B84A3D" w:rsidP="00B84A3D">
            <w:pPr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Stage</w:t>
            </w:r>
          </w:p>
        </w:tc>
        <w:tc>
          <w:tcPr>
            <w:tcW w:w="4230" w:type="dxa"/>
          </w:tcPr>
          <w:p w14:paraId="6D4B76CC" w14:textId="77777777" w:rsidR="00B84A3D" w:rsidRPr="00B84A3D" w:rsidRDefault="00B84A3D" w:rsidP="00B84A3D">
            <w:pPr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Definition</w:t>
            </w:r>
          </w:p>
        </w:tc>
        <w:tc>
          <w:tcPr>
            <w:tcW w:w="6241" w:type="dxa"/>
          </w:tcPr>
          <w:p w14:paraId="03196394" w14:textId="77777777" w:rsidR="00B84A3D" w:rsidRPr="00B84A3D" w:rsidRDefault="00B84A3D" w:rsidP="00B84A3D">
            <w:pPr>
              <w:spacing w:after="0" w:line="180" w:lineRule="exact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Management</w:t>
            </w:r>
          </w:p>
        </w:tc>
      </w:tr>
      <w:tr w:rsidR="00B84A3D" w:rsidRPr="00B84A3D" w14:paraId="75BB1CAD" w14:textId="77777777" w:rsidTr="005F0361">
        <w:tc>
          <w:tcPr>
            <w:tcW w:w="895" w:type="dxa"/>
          </w:tcPr>
          <w:p w14:paraId="2DA95A26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Stage 1</w:t>
            </w:r>
          </w:p>
        </w:tc>
        <w:tc>
          <w:tcPr>
            <w:tcW w:w="4230" w:type="dxa"/>
          </w:tcPr>
          <w:p w14:paraId="54F42B94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QBL 500-999 ml after vaginal delivery</w:t>
            </w:r>
          </w:p>
          <w:p w14:paraId="3638BC72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QBL &gt;1000 ml after cesarean delivery</w:t>
            </w:r>
          </w:p>
          <w:p w14:paraId="39A24452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Normal VS and labs</w:t>
            </w:r>
          </w:p>
        </w:tc>
        <w:tc>
          <w:tcPr>
            <w:tcW w:w="6241" w:type="dxa"/>
          </w:tcPr>
          <w:p w14:paraId="2123CEA4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color w:val="2F5496" w:themeColor="accent1" w:themeShade="BF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Call for help. Determine and treat cause. Fundal massage. IV fluid.   Drain bladder. Administer medications. Confirm access to blood </w:t>
            </w:r>
          </w:p>
        </w:tc>
      </w:tr>
      <w:tr w:rsidR="00B84A3D" w:rsidRPr="00B84A3D" w14:paraId="2BBD24A3" w14:textId="77777777" w:rsidTr="005F0361">
        <w:tc>
          <w:tcPr>
            <w:tcW w:w="895" w:type="dxa"/>
          </w:tcPr>
          <w:p w14:paraId="26481468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Stage 2</w:t>
            </w:r>
          </w:p>
        </w:tc>
        <w:tc>
          <w:tcPr>
            <w:tcW w:w="4230" w:type="dxa"/>
          </w:tcPr>
          <w:p w14:paraId="3643A17D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QBL up to 1500 ml </w:t>
            </w: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OR</w:t>
            </w:r>
            <w:r w:rsidRPr="00B84A3D">
              <w:rPr>
                <w:rFonts w:ascii="Arial" w:hAnsi="Arial" w:cs="Arial"/>
                <w:sz w:val="18"/>
                <w:szCs w:val="18"/>
              </w:rPr>
              <w:t xml:space="preserve"> administration of two or more uterotonics</w:t>
            </w:r>
          </w:p>
          <w:p w14:paraId="5B970BBB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Normal VS and labs</w:t>
            </w:r>
          </w:p>
        </w:tc>
        <w:tc>
          <w:tcPr>
            <w:tcW w:w="6241" w:type="dxa"/>
          </w:tcPr>
          <w:p w14:paraId="4CA9DE2C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color w:val="2F5496" w:themeColor="accent1" w:themeShade="BF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Call for additional help. Place 2</w:t>
            </w:r>
            <w:proofErr w:type="gramStart"/>
            <w:r w:rsidRPr="00B84A3D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 w:rsidRPr="00B84A3D">
              <w:rPr>
                <w:rFonts w:ascii="Arial" w:hAnsi="Arial" w:cs="Arial"/>
                <w:sz w:val="18"/>
                <w:szCs w:val="18"/>
              </w:rPr>
              <w:t xml:space="preserve">  IV.</w:t>
            </w:r>
            <w:proofErr w:type="gramEnd"/>
            <w:r w:rsidRPr="00B84A3D">
              <w:rPr>
                <w:rFonts w:ascii="Arial" w:hAnsi="Arial" w:cs="Arial"/>
                <w:sz w:val="18"/>
                <w:szCs w:val="18"/>
              </w:rPr>
              <w:t xml:space="preserve">  Draw stat labs. Continue stage one meds. Consider TXA. Obtain 2 units PRBCs. Thaw 2 units FFP. For atony, consider balloon or packing. Consider move to OR</w:t>
            </w:r>
          </w:p>
        </w:tc>
      </w:tr>
      <w:tr w:rsidR="00B84A3D" w:rsidRPr="00B84A3D" w14:paraId="50212643" w14:textId="77777777" w:rsidTr="005F0361">
        <w:tc>
          <w:tcPr>
            <w:tcW w:w="895" w:type="dxa"/>
          </w:tcPr>
          <w:p w14:paraId="12335536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Stage 3</w:t>
            </w:r>
          </w:p>
        </w:tc>
        <w:tc>
          <w:tcPr>
            <w:tcW w:w="4230" w:type="dxa"/>
          </w:tcPr>
          <w:p w14:paraId="5658C3D8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Continued bleeding EBL &gt; 1500 ml </w:t>
            </w:r>
          </w:p>
          <w:p w14:paraId="265E1D65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OR</w:t>
            </w:r>
            <w:r w:rsidRPr="00B84A3D">
              <w:rPr>
                <w:rFonts w:ascii="Arial" w:hAnsi="Arial" w:cs="Arial"/>
                <w:sz w:val="18"/>
                <w:szCs w:val="18"/>
              </w:rPr>
              <w:t xml:space="preserve"> 2 RBCs given </w:t>
            </w: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OR</w:t>
            </w:r>
            <w:r w:rsidRPr="00B84A3D">
              <w:rPr>
                <w:rFonts w:ascii="Arial" w:hAnsi="Arial" w:cs="Arial"/>
                <w:sz w:val="18"/>
                <w:szCs w:val="18"/>
              </w:rPr>
              <w:t xml:space="preserve"> risk for coagulopathy </w:t>
            </w:r>
          </w:p>
          <w:p w14:paraId="039A8310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OR </w:t>
            </w:r>
            <w:r w:rsidRPr="00B84A3D">
              <w:rPr>
                <w:rFonts w:ascii="Arial" w:hAnsi="Arial" w:cs="Arial"/>
                <w:sz w:val="18"/>
                <w:szCs w:val="18"/>
              </w:rPr>
              <w:t>abnormal VS, Labs or Oliguria</w:t>
            </w:r>
          </w:p>
        </w:tc>
        <w:tc>
          <w:tcPr>
            <w:tcW w:w="6241" w:type="dxa"/>
          </w:tcPr>
          <w:p w14:paraId="59A2A858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Mobilize more help. Move to OR.  Announce clinical status (VS, QBL) every 5-10 minutes. Continue stage one meds. Consider TXA. Initiate massive transfusion protocol</w:t>
            </w:r>
          </w:p>
        </w:tc>
      </w:tr>
      <w:tr w:rsidR="00B84A3D" w:rsidRPr="00B84A3D" w14:paraId="7463CD6D" w14:textId="77777777" w:rsidTr="005F0361">
        <w:tc>
          <w:tcPr>
            <w:tcW w:w="895" w:type="dxa"/>
          </w:tcPr>
          <w:p w14:paraId="22C5C091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4A3D">
              <w:rPr>
                <w:rFonts w:ascii="Arial" w:hAnsi="Arial" w:cs="Arial"/>
                <w:b/>
                <w:bCs/>
                <w:sz w:val="18"/>
                <w:szCs w:val="18"/>
              </w:rPr>
              <w:t>Stage 4</w:t>
            </w:r>
          </w:p>
        </w:tc>
        <w:tc>
          <w:tcPr>
            <w:tcW w:w="4230" w:type="dxa"/>
          </w:tcPr>
          <w:p w14:paraId="1779478E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 xml:space="preserve">Cardiovascular </w:t>
            </w:r>
            <w:proofErr w:type="gramStart"/>
            <w:r w:rsidRPr="00B84A3D">
              <w:rPr>
                <w:rFonts w:ascii="Arial" w:hAnsi="Arial" w:cs="Arial"/>
                <w:sz w:val="18"/>
                <w:szCs w:val="18"/>
              </w:rPr>
              <w:t>collapse  (</w:t>
            </w:r>
            <w:proofErr w:type="gramEnd"/>
            <w:r w:rsidRPr="00B84A3D">
              <w:rPr>
                <w:rFonts w:ascii="Arial" w:hAnsi="Arial" w:cs="Arial"/>
                <w:sz w:val="18"/>
                <w:szCs w:val="18"/>
              </w:rPr>
              <w:t>massive hemorrhage, profound hypovolemic shock, amniotic fluid embolism</w:t>
            </w:r>
          </w:p>
        </w:tc>
        <w:tc>
          <w:tcPr>
            <w:tcW w:w="6241" w:type="dxa"/>
          </w:tcPr>
          <w:p w14:paraId="22BAD400" w14:textId="77777777" w:rsidR="00B84A3D" w:rsidRPr="00B84A3D" w:rsidRDefault="00B84A3D" w:rsidP="00B84A3D">
            <w:pPr>
              <w:spacing w:after="0" w:line="180" w:lineRule="exact"/>
              <w:rPr>
                <w:rFonts w:ascii="Arial" w:hAnsi="Arial" w:cs="Arial"/>
                <w:color w:val="2F5496" w:themeColor="accent1" w:themeShade="BF"/>
                <w:sz w:val="18"/>
                <w:szCs w:val="18"/>
              </w:rPr>
            </w:pPr>
            <w:r w:rsidRPr="00B84A3D">
              <w:rPr>
                <w:rFonts w:ascii="Arial" w:hAnsi="Arial" w:cs="Arial"/>
                <w:sz w:val="18"/>
                <w:szCs w:val="18"/>
              </w:rPr>
              <w:t>Additional resources.  ACLS.  Aggressive massive transfusion.  Immediate surgical intervention (hysterectomy)</w:t>
            </w:r>
          </w:p>
        </w:tc>
      </w:tr>
    </w:tbl>
    <w:p w14:paraId="49479FD8" w14:textId="00E5ECC9" w:rsidR="00FB44AE" w:rsidRPr="00FB44AE" w:rsidRDefault="00C661ED" w:rsidP="00FB44AE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285A61" wp14:editId="225F990B">
                <wp:simplePos x="0" y="0"/>
                <wp:positionH relativeFrom="column">
                  <wp:posOffset>0</wp:posOffset>
                </wp:positionH>
                <wp:positionV relativeFrom="paragraph">
                  <wp:posOffset>1203325</wp:posOffset>
                </wp:positionV>
                <wp:extent cx="2243455" cy="913765"/>
                <wp:effectExtent l="0" t="0" r="4445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913765"/>
                        </a:xfrm>
                        <a:prstGeom prst="rect">
                          <a:avLst/>
                        </a:prstGeom>
                        <a:solidFill>
                          <a:srgbClr val="A72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BEA7B9" w14:textId="77777777" w:rsidR="00FB44AE" w:rsidRDefault="00FB44AE" w:rsidP="00FB44A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5A35265E" w14:textId="77777777" w:rsidR="00FB44AE" w:rsidRPr="00D85409" w:rsidRDefault="00FB44AE" w:rsidP="00FB44A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pacing w:val="-2"/>
                                <w:position w:val="-36"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607A6AD8" wp14:editId="5361D1C2">
                                  <wp:extent cx="1828800" cy="40233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402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85A6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94.75pt;width:176.65pt;height:7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" fillcolor="#a72a5c" stroked="f" strokeweight=".5pt">
                <v:textbox>
                  <w:txbxContent>
                    <w:p w14:paraId="11BEA7B9" w14:textId="77777777" w:rsidR="00FB44AE" w:rsidRDefault="00FB44AE" w:rsidP="00FB44A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5A35265E" w14:textId="77777777" w:rsidR="00FB44AE" w:rsidRPr="00D85409" w:rsidRDefault="00FB44AE" w:rsidP="00FB44AE">
                      <w:pPr>
                        <w:rPr>
                          <w:rFonts w:ascii="Arial" w:hAnsi="Arial" w:cs="Arial"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pacing w:val="-2"/>
                          <w:position w:val="-36"/>
                          <w:sz w:val="12"/>
                          <w:szCs w:val="12"/>
                        </w:rPr>
                        <w:drawing>
                          <wp:inline distT="0" distB="0" distL="0" distR="0" wp14:anchorId="607A6AD8" wp14:editId="5361D1C2">
                            <wp:extent cx="1828800" cy="40233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402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5F8DE" wp14:editId="4F0588D8">
                <wp:simplePos x="0" y="0"/>
                <wp:positionH relativeFrom="column">
                  <wp:posOffset>2077085</wp:posOffset>
                </wp:positionH>
                <wp:positionV relativeFrom="paragraph">
                  <wp:posOffset>1378585</wp:posOffset>
                </wp:positionV>
                <wp:extent cx="0" cy="558800"/>
                <wp:effectExtent l="0" t="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DDCDC" id="Straight Connector 12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55pt,108.55pt" to="163.55pt,15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" strokecolor="white [3212]" strokeweight=".5pt">
                <v:stroke joinstyle="miter"/>
              </v:line>
            </w:pict>
          </mc:Fallback>
        </mc:AlternateContent>
      </w:r>
      <w:r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49FAE" wp14:editId="34EBA429">
                <wp:simplePos x="0" y="0"/>
                <wp:positionH relativeFrom="column">
                  <wp:posOffset>0</wp:posOffset>
                </wp:positionH>
                <wp:positionV relativeFrom="paragraph">
                  <wp:posOffset>741045</wp:posOffset>
                </wp:positionV>
                <wp:extent cx="6857365" cy="456565"/>
                <wp:effectExtent l="0" t="0" r="635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565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2DE"/>
                            </a:gs>
                            <a:gs pos="100000">
                              <a:srgbClr val="00313C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0EE322E" w14:textId="77777777" w:rsidR="00FB44AE" w:rsidRPr="00D85409" w:rsidRDefault="00FB44AE" w:rsidP="00FB44A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position w:val="-36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position w:val="-36"/>
                              </w:rPr>
                              <w:t>Learn more at</w:t>
                            </w:r>
                            <w:r w:rsidRPr="00D85409">
                              <w:rPr>
                                <w:rFonts w:ascii="Arial" w:hAnsi="Arial" w:cs="Arial"/>
                                <w:color w:val="FFFFFF" w:themeColor="background1"/>
                                <w:position w:val="-36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position w:val="-36"/>
                                <w:sz w:val="32"/>
                                <w:szCs w:val="32"/>
                              </w:rPr>
                              <w:t>mtmoms.org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9FAE" id="Text Box 1" o:spid="_x0000_s1027" type="#_x0000_t202" style="position:absolute;margin-left:0;margin-top:58.35pt;width:539.9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" fillcolor="#00b2de" stroked="f" strokeweight=".5pt">
                <v:fill color2="#00313c" angle="90" focus="100%" type="gradient">
                  <o:fill v:ext="view" type="gradientUnscaled"/>
                </v:fill>
                <v:textbox>
                  <w:txbxContent>
                    <w:p w14:paraId="50EE322E" w14:textId="77777777" w:rsidR="00FB44AE" w:rsidRPr="00D85409" w:rsidRDefault="00FB44AE" w:rsidP="00FB44A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position w:val="-36"/>
                        </w:rPr>
                      </w:pPr>
                      <w:r w:rsidRPr="00D85409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position w:val="-36"/>
                        </w:rPr>
                        <w:t>Learn more at</w:t>
                      </w:r>
                      <w:r w:rsidRPr="00D85409">
                        <w:rPr>
                          <w:rFonts w:ascii="Arial" w:hAnsi="Arial" w:cs="Arial"/>
                          <w:color w:val="FFFFFF" w:themeColor="background1"/>
                          <w:position w:val="-36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position w:val="-36"/>
                          <w:sz w:val="32"/>
                          <w:szCs w:val="32"/>
                        </w:rPr>
                        <w:t>mtmoms.org</w:t>
                      </w:r>
                    </w:p>
                  </w:txbxContent>
                </v:textbox>
              </v:shape>
            </w:pict>
          </mc:Fallback>
        </mc:AlternateContent>
      </w:r>
      <w:r w:rsidRPr="00FB44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A84B0" wp14:editId="3FFE897D">
                <wp:simplePos x="0" y="0"/>
                <wp:positionH relativeFrom="column">
                  <wp:posOffset>2200910</wp:posOffset>
                </wp:positionH>
                <wp:positionV relativeFrom="paragraph">
                  <wp:posOffset>1203748</wp:posOffset>
                </wp:positionV>
                <wp:extent cx="4655820" cy="913765"/>
                <wp:effectExtent l="0" t="0" r="5080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913765"/>
                        </a:xfrm>
                        <a:prstGeom prst="rect">
                          <a:avLst/>
                        </a:prstGeom>
                        <a:solidFill>
                          <a:srgbClr val="A72A5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0AE79" w14:textId="77777777" w:rsidR="00FB44AE" w:rsidRDefault="00FB44AE" w:rsidP="00FB44A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2B09DFA0" w14:textId="2D002DB8" w:rsidR="00FB44AE" w:rsidRPr="00FB44AE" w:rsidRDefault="00FB44AE" w:rsidP="00FB44A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This project is supported by the Health Resources and Services Administration (HRSA) of the U.S. Department of Health and</w:t>
                            </w:r>
                            <w:r w:rsidR="00C47500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Human Services (HHS) as part of an award totaling $10MM designed to improve maternal health outcomes. The contents are those</w:t>
                            </w:r>
                            <w:r w:rsidR="00C47500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85409">
                              <w:rPr>
                                <w:rFonts w:ascii="Arial" w:hAnsi="Arial" w:cs="Arial"/>
                                <w:color w:val="FFFFFF"/>
                                <w:spacing w:val="-2"/>
                                <w:sz w:val="12"/>
                                <w:szCs w:val="12"/>
                              </w:rPr>
                              <w:t>of the author(s) and do not necessarily represent the official views of, nor an endorsement, by HRSA, HHS or the U.S.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84B0" id="Text Box 9" o:spid="_x0000_s1028" type="#_x0000_t202" style="position:absolute;margin-left:173.3pt;margin-top:94.8pt;width:366.6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" fillcolor="#a72a5c" stroked="f" strokeweight=".5pt">
                <v:textbox>
                  <w:txbxContent>
                    <w:p w14:paraId="1710AE79" w14:textId="77777777" w:rsidR="00FB44AE" w:rsidRDefault="00FB44AE" w:rsidP="00FB44A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</w:p>
                    <w:p w14:paraId="2B09DFA0" w14:textId="2D002DB8" w:rsidR="00FB44AE" w:rsidRPr="00FB44AE" w:rsidRDefault="00FB44AE" w:rsidP="00FB44A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</w:pP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This project is supported by the Health Resources and Services Administration (HRSA) of the U.S. Department of Health and</w:t>
                      </w:r>
                      <w:r w:rsidR="00C47500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Human Services (HHS) as part of an award totaling $10MM designed to improve maternal health outcomes. The contents are those</w:t>
                      </w:r>
                      <w:r w:rsidR="00C47500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Pr="00D85409">
                        <w:rPr>
                          <w:rFonts w:ascii="Arial" w:hAnsi="Arial" w:cs="Arial"/>
                          <w:color w:val="FFFFFF"/>
                          <w:spacing w:val="-2"/>
                          <w:sz w:val="12"/>
                          <w:szCs w:val="12"/>
                        </w:rPr>
                        <w:t>of the author(s) and do not necessarily represent the official views of, nor an endorsement, by HRSA, HHS or the U.S. Government.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44AE" w:rsidRPr="00FB44AE" w:rsidSect="000C719A"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7DBFE" w14:textId="77777777" w:rsidR="008F5397" w:rsidRDefault="008F5397" w:rsidP="00C447D2">
      <w:pPr>
        <w:spacing w:after="0" w:line="240" w:lineRule="auto"/>
      </w:pPr>
      <w:r>
        <w:separator/>
      </w:r>
    </w:p>
  </w:endnote>
  <w:endnote w:type="continuationSeparator" w:id="0">
    <w:p w14:paraId="4D5FA706" w14:textId="77777777" w:rsidR="008F5397" w:rsidRDefault="008F5397" w:rsidP="00C44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02F59" w14:textId="77777777" w:rsidR="008F5397" w:rsidRDefault="008F5397" w:rsidP="00C447D2">
      <w:pPr>
        <w:spacing w:after="0" w:line="240" w:lineRule="auto"/>
      </w:pPr>
      <w:r>
        <w:separator/>
      </w:r>
    </w:p>
  </w:footnote>
  <w:footnote w:type="continuationSeparator" w:id="0">
    <w:p w14:paraId="5D5B0922" w14:textId="77777777" w:rsidR="008F5397" w:rsidRDefault="008F5397" w:rsidP="00C44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B120A" w14:textId="1F9F53A8" w:rsidR="00D17C6C" w:rsidRDefault="00D17C6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592986" wp14:editId="5C18BDD5">
          <wp:simplePos x="0" y="0"/>
          <wp:positionH relativeFrom="column">
            <wp:posOffset>-465667</wp:posOffset>
          </wp:positionH>
          <wp:positionV relativeFrom="page">
            <wp:posOffset>8467</wp:posOffset>
          </wp:positionV>
          <wp:extent cx="7772400" cy="10058400"/>
          <wp:effectExtent l="0" t="0" r="0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1FF29" w14:textId="05FC57C5" w:rsidR="00C447D2" w:rsidRDefault="000C719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BFDA90" wp14:editId="40C5AF9C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F4D23"/>
    <w:multiLevelType w:val="hybridMultilevel"/>
    <w:tmpl w:val="2CBE053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0C7D"/>
    <w:multiLevelType w:val="hybridMultilevel"/>
    <w:tmpl w:val="35A8F89A"/>
    <w:lvl w:ilvl="0" w:tplc="C9881ED0">
      <w:start w:val="8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A72A5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46232"/>
    <w:multiLevelType w:val="hybridMultilevel"/>
    <w:tmpl w:val="2E06F6E6"/>
    <w:lvl w:ilvl="0" w:tplc="9EE0621A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3337AF"/>
    <w:multiLevelType w:val="hybridMultilevel"/>
    <w:tmpl w:val="CEB8E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F6AAC"/>
    <w:multiLevelType w:val="hybridMultilevel"/>
    <w:tmpl w:val="215C4088"/>
    <w:lvl w:ilvl="0" w:tplc="3604A312">
      <w:start w:val="2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00B2D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179AD"/>
    <w:multiLevelType w:val="hybridMultilevel"/>
    <w:tmpl w:val="895AD782"/>
    <w:lvl w:ilvl="0" w:tplc="3DAEB6EA">
      <w:start w:val="6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00B2D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A4"/>
    <w:rsid w:val="00034783"/>
    <w:rsid w:val="00072452"/>
    <w:rsid w:val="000C3BCC"/>
    <w:rsid w:val="000C719A"/>
    <w:rsid w:val="001E05B6"/>
    <w:rsid w:val="00281FF4"/>
    <w:rsid w:val="002A55B0"/>
    <w:rsid w:val="004223A2"/>
    <w:rsid w:val="004D3F6E"/>
    <w:rsid w:val="004E631E"/>
    <w:rsid w:val="0057020A"/>
    <w:rsid w:val="00591C90"/>
    <w:rsid w:val="005C7F64"/>
    <w:rsid w:val="00645139"/>
    <w:rsid w:val="007171C2"/>
    <w:rsid w:val="008A2864"/>
    <w:rsid w:val="008C3762"/>
    <w:rsid w:val="008F5397"/>
    <w:rsid w:val="009845CF"/>
    <w:rsid w:val="009C55C9"/>
    <w:rsid w:val="00A60A1B"/>
    <w:rsid w:val="00AC66AE"/>
    <w:rsid w:val="00B84A3D"/>
    <w:rsid w:val="00BB79A4"/>
    <w:rsid w:val="00C447D2"/>
    <w:rsid w:val="00C47500"/>
    <w:rsid w:val="00C661ED"/>
    <w:rsid w:val="00D17C6C"/>
    <w:rsid w:val="00DC7E37"/>
    <w:rsid w:val="00DD10EB"/>
    <w:rsid w:val="00ED7311"/>
    <w:rsid w:val="00EE7205"/>
    <w:rsid w:val="00F66F68"/>
    <w:rsid w:val="00FB44AE"/>
    <w:rsid w:val="00FD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57E36"/>
  <w15:chartTrackingRefBased/>
  <w15:docId w15:val="{8805A66B-0418-8145-BEBF-9BF9D9B8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6A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6AE"/>
    <w:pPr>
      <w:ind w:left="720"/>
      <w:contextualSpacing/>
    </w:pPr>
  </w:style>
  <w:style w:type="table" w:styleId="PlainTable1">
    <w:name w:val="Plain Table 1"/>
    <w:basedOn w:val="TableNormal"/>
    <w:uiPriority w:val="41"/>
    <w:rsid w:val="00AC66A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C44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7D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44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7D2"/>
    <w:rPr>
      <w:sz w:val="22"/>
      <w:szCs w:val="22"/>
    </w:rPr>
  </w:style>
  <w:style w:type="table" w:styleId="TableGrid">
    <w:name w:val="Table Grid"/>
    <w:basedOn w:val="TableNormal"/>
    <w:uiPriority w:val="39"/>
    <w:rsid w:val="00B84A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Larsen</dc:creator>
  <cp:keywords/>
  <dc:description/>
  <cp:lastModifiedBy>Gregor Larsen</cp:lastModifiedBy>
  <cp:revision>7</cp:revision>
  <dcterms:created xsi:type="dcterms:W3CDTF">2021-03-31T20:30:00Z</dcterms:created>
  <dcterms:modified xsi:type="dcterms:W3CDTF">2021-04-07T14:32:00Z</dcterms:modified>
</cp:coreProperties>
</file>